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E3" w:rsidRDefault="00BF0DE3" w:rsidP="00BF0DE3">
      <w:pPr>
        <w:shd w:val="clear" w:color="auto" w:fill="FFFFFF"/>
        <w:spacing w:after="288" w:line="288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Fee Waivers</w:t>
      </w:r>
    </w:p>
    <w:p w:rsidR="00BF0DE3" w:rsidRPr="00237717" w:rsidRDefault="00BF0DE3" w:rsidP="00237717">
      <w:pPr>
        <w:shd w:val="clear" w:color="auto" w:fill="FFFFFF"/>
        <w:spacing w:after="288" w:line="288" w:lineRule="atLeast"/>
        <w:jc w:val="both"/>
        <w:outlineLvl w:val="1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Students who qualify for SAT/ ACT/ College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>Board</w:t>
      </w: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fee waivers may sign up in the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>Counseling</w:t>
      </w: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Office to request these documents. Eligible students may pick up their fee waivers Fridays in the counseling office. Fee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>waivers</w:t>
      </w: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will not be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>delivered</w:t>
      </w: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or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>mailed</w:t>
      </w:r>
      <w:r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Students are only eligible for (2) two SAT and (2) ACT and (4) College Board </w:t>
      </w:r>
      <w:r w:rsidR="00237717" w:rsidRPr="00237717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fee waivers in their lifetime. Waivers are not accepted after the Registration Deadline for any test date. Lost/ destroyed waivers cannot be replaced. Limited quantities available. For more information about fee waiver eligibility, please visit sat.collegeboard.org and www.actstudent.org. </w:t>
      </w:r>
      <w:bookmarkStart w:id="0" w:name="_GoBack"/>
      <w:bookmarkEnd w:id="0"/>
    </w:p>
    <w:p w:rsidR="00FF4A24" w:rsidRPr="00FF4A24" w:rsidRDefault="00FF4A24" w:rsidP="00FF4A24">
      <w:pPr>
        <w:shd w:val="clear" w:color="auto" w:fill="FFFFFF"/>
        <w:spacing w:after="288" w:line="288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F4A24">
        <w:rPr>
          <w:rFonts w:ascii="Arial" w:eastAsia="Times New Roman" w:hAnsi="Arial" w:cs="Arial"/>
          <w:b/>
          <w:bCs/>
          <w:color w:val="333333"/>
          <w:sz w:val="36"/>
          <w:szCs w:val="36"/>
        </w:rPr>
        <w:t>2019-2020 ACT Test Dates</w:t>
      </w:r>
    </w:p>
    <w:tbl>
      <w:tblPr>
        <w:tblW w:w="7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358"/>
        <w:gridCol w:w="2358"/>
      </w:tblGrid>
      <w:tr w:rsidR="00FF4A24" w:rsidRPr="00FF4A24" w:rsidTr="00FF4A24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  <w:bCs/>
              </w:rPr>
              <w:t>Test Date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  <w:bCs/>
              </w:rPr>
              <w:t>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  <w:bCs/>
              </w:rPr>
              <w:t>Late Deadline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Sept 14,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Aug 16,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Sept 1, 2019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Oct 26,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Sept 27,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Oct 13, 2019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Dec 14,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Nov 8,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Nov 25, 2019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Feb 8,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Jan 10,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Jan 17, 2020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Apr 4, 2020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Feb 29, 2020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Mar 16, 2020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June 13,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May 8,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May 25, 2020</w:t>
            </w:r>
          </w:p>
        </w:tc>
      </w:tr>
      <w:tr w:rsidR="00FF4A24" w:rsidRPr="00FF4A24" w:rsidTr="00FF4A24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July 18, 2020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June 19, 2020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FF4A24" w:rsidRPr="00FF4A24" w:rsidRDefault="00FF4A24" w:rsidP="00FF4A24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</w:rPr>
              <w:t>June 29, 2020</w:t>
            </w:r>
          </w:p>
        </w:tc>
      </w:tr>
    </w:tbl>
    <w:p w:rsidR="009208CB" w:rsidRPr="00FF4A24" w:rsidRDefault="009208CB">
      <w:pPr>
        <w:rPr>
          <w:rFonts w:ascii="Arial" w:hAnsi="Arial" w:cs="Arial"/>
          <w:b/>
        </w:rPr>
      </w:pPr>
    </w:p>
    <w:p w:rsidR="00FF4A24" w:rsidRDefault="00FF4A24" w:rsidP="00FF4A24">
      <w:pPr>
        <w:shd w:val="clear" w:color="auto" w:fill="FFFFFF"/>
        <w:spacing w:after="360" w:line="25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  <w:r w:rsidRPr="00FF4A24">
        <w:rPr>
          <w:rFonts w:ascii="Arial" w:eastAsia="Times New Roman" w:hAnsi="Arial" w:cs="Arial"/>
          <w:b/>
          <w:sz w:val="36"/>
          <w:szCs w:val="36"/>
        </w:rPr>
        <w:t>2019-20 SAT Dates</w:t>
      </w:r>
    </w:p>
    <w:tbl>
      <w:tblPr>
        <w:tblW w:w="8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1"/>
        <w:gridCol w:w="1864"/>
        <w:gridCol w:w="4647"/>
      </w:tblGrid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65D3D" w:rsidRPr="00FF4A24" w:rsidRDefault="00D65D3D" w:rsidP="008B4537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  <w:bCs/>
              </w:rPr>
              <w:t>Test Date</w:t>
            </w:r>
          </w:p>
        </w:tc>
        <w:tc>
          <w:tcPr>
            <w:tcW w:w="0" w:type="auto"/>
            <w:shd w:val="clear" w:color="auto" w:fill="FFFFFF"/>
          </w:tcPr>
          <w:p w:rsidR="00D65D3D" w:rsidRPr="00FF4A24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65D3D" w:rsidRPr="00FF4A24" w:rsidRDefault="00D65D3D" w:rsidP="008B4537">
            <w:pPr>
              <w:rPr>
                <w:rFonts w:ascii="Arial" w:hAnsi="Arial" w:cs="Arial"/>
              </w:rPr>
            </w:pPr>
            <w:r w:rsidRPr="00FF4A24">
              <w:rPr>
                <w:rFonts w:ascii="Arial" w:hAnsi="Arial" w:cs="Arial"/>
                <w:bCs/>
              </w:rPr>
              <w:t>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65D3D" w:rsidRPr="00FF4A24" w:rsidRDefault="00D65D3D" w:rsidP="008B4537">
            <w:pPr>
              <w:rPr>
                <w:rFonts w:ascii="Arial" w:hAnsi="Arial" w:cs="Arial"/>
                <w:bCs/>
              </w:rPr>
            </w:pPr>
            <w:r w:rsidRPr="00FF4A24">
              <w:rPr>
                <w:rFonts w:ascii="Arial" w:hAnsi="Arial" w:cs="Arial"/>
                <w:bCs/>
              </w:rPr>
              <w:t>Late Deadline</w:t>
            </w:r>
            <w:r>
              <w:rPr>
                <w:rFonts w:ascii="Arial" w:hAnsi="Arial" w:cs="Arial"/>
                <w:bCs/>
              </w:rPr>
              <w:t xml:space="preserve"> Mailed/ Online or phone  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Pr="00FF4A24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 24, 2019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Pr="00FF4A24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July 26,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Pr="00FF4A24" w:rsidRDefault="00D65D3D" w:rsidP="00D6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 6, 2019  / Aug 13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 5, 2019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 6,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 17, 2019  / Sep 24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2, 2019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 3,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 15, 2019  / Oct 22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 7, 2019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8,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 19, 2019  / Nov 26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14, 2020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 14,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Feb 25, 2020  / March 3 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2, 2020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3,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14, 2020  / April 21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6, 2020</w:t>
            </w:r>
          </w:p>
        </w:tc>
        <w:tc>
          <w:tcPr>
            <w:tcW w:w="0" w:type="auto"/>
            <w:shd w:val="clear" w:color="auto" w:fill="FFFFFF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D65D3D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8, 2020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D65D3D" w:rsidP="008B45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May 19, 2020  / May 27 </w:t>
            </w: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</w:tr>
      <w:tr w:rsidR="00BF0DE3" w:rsidRPr="00FF4A24" w:rsidTr="00D65D3D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</w:tcPr>
          <w:p w:rsidR="00BF0DE3" w:rsidRDefault="00BF0DE3" w:rsidP="008B4537">
            <w:pPr>
              <w:rPr>
                <w:rFonts w:ascii="Arial" w:hAnsi="Arial" w:cs="Arial"/>
                <w:bCs/>
              </w:rPr>
            </w:pPr>
          </w:p>
        </w:tc>
      </w:tr>
    </w:tbl>
    <w:p w:rsidR="00FF4A24" w:rsidRPr="00FF4A24" w:rsidRDefault="00FF4A24">
      <w:pPr>
        <w:rPr>
          <w:rFonts w:ascii="Arial" w:hAnsi="Arial" w:cs="Arial"/>
        </w:rPr>
      </w:pPr>
    </w:p>
    <w:sectPr w:rsidR="00FF4A24" w:rsidRPr="00FF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52" w:rsidRDefault="00411A52" w:rsidP="00BF0DE3">
      <w:pPr>
        <w:spacing w:after="0" w:line="240" w:lineRule="auto"/>
      </w:pPr>
      <w:r>
        <w:separator/>
      </w:r>
    </w:p>
  </w:endnote>
  <w:endnote w:type="continuationSeparator" w:id="0">
    <w:p w:rsidR="00411A52" w:rsidRDefault="00411A52" w:rsidP="00BF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52" w:rsidRDefault="00411A52" w:rsidP="00BF0DE3">
      <w:pPr>
        <w:spacing w:after="0" w:line="240" w:lineRule="auto"/>
      </w:pPr>
      <w:r>
        <w:separator/>
      </w:r>
    </w:p>
  </w:footnote>
  <w:footnote w:type="continuationSeparator" w:id="0">
    <w:p w:rsidR="00411A52" w:rsidRDefault="00411A52" w:rsidP="00BF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4"/>
    <w:rsid w:val="00237717"/>
    <w:rsid w:val="00411A52"/>
    <w:rsid w:val="009208CB"/>
    <w:rsid w:val="00BF0DE3"/>
    <w:rsid w:val="00D65D3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4E03"/>
  <w15:chartTrackingRefBased/>
  <w15:docId w15:val="{0A859821-C0C3-432D-9BAF-0B0BCB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A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E3"/>
  </w:style>
  <w:style w:type="paragraph" w:styleId="Footer">
    <w:name w:val="footer"/>
    <w:basedOn w:val="Normal"/>
    <w:link w:val="FooterChar"/>
    <w:uiPriority w:val="99"/>
    <w:unhideWhenUsed/>
    <w:rsid w:val="00BF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E3"/>
  </w:style>
  <w:style w:type="character" w:styleId="Hyperlink">
    <w:name w:val="Hyperlink"/>
    <w:basedOn w:val="DefaultParagraphFont"/>
    <w:uiPriority w:val="99"/>
    <w:unhideWhenUsed/>
    <w:rsid w:val="0023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Denori Walton (Cross Keys High)</dc:creator>
  <cp:keywords/>
  <dc:description/>
  <cp:lastModifiedBy>Denori Walton (Cross Keys High)</cp:lastModifiedBy>
  <cp:revision>1</cp:revision>
  <dcterms:created xsi:type="dcterms:W3CDTF">2019-07-22T14:31:00Z</dcterms:created>
  <dcterms:modified xsi:type="dcterms:W3CDTF">2019-07-22T15:52:00Z</dcterms:modified>
</cp:coreProperties>
</file>